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3E4B0956" w:rsidR="006139E5" w:rsidRDefault="006139E5" w:rsidP="006139E5">
      <w:pPr>
        <w:spacing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20"/>
        </w:rPr>
        <w:t xml:space="preserve">ΑΦΟΡΑ ΤΗΝ ΑΡΙΘ. ΠΡΩΤ.: </w:t>
      </w:r>
      <w:r w:rsidR="00712D2A">
        <w:rPr>
          <w:rFonts w:ascii="Times New Roman" w:hAnsi="Times New Roman"/>
          <w:b/>
          <w:sz w:val="20"/>
        </w:rPr>
        <w:t>6531</w:t>
      </w:r>
      <w:r>
        <w:rPr>
          <w:rFonts w:ascii="Times New Roman" w:hAnsi="Times New Roman"/>
          <w:b/>
          <w:sz w:val="20"/>
        </w:rPr>
        <w:t xml:space="preserve"> -</w:t>
      </w:r>
      <w:r>
        <w:rPr>
          <w:rFonts w:ascii="Times New Roman" w:hAnsi="Times New Roman"/>
          <w:b/>
          <w:sz w:val="16"/>
          <w:szCs w:val="16"/>
        </w:rPr>
        <w:t xml:space="preserve"> </w:t>
      </w:r>
      <w:r w:rsidR="00712D2A">
        <w:rPr>
          <w:rFonts w:ascii="Times New Roman" w:hAnsi="Times New Roman"/>
          <w:b/>
          <w:sz w:val="20"/>
          <w:szCs w:val="20"/>
        </w:rPr>
        <w:t>20</w:t>
      </w:r>
      <w:r>
        <w:rPr>
          <w:rFonts w:ascii="Times New Roman" w:hAnsi="Times New Roman"/>
          <w:b/>
          <w:sz w:val="20"/>
        </w:rPr>
        <w:t>/</w:t>
      </w:r>
      <w:r w:rsidR="00712D2A">
        <w:rPr>
          <w:rFonts w:ascii="Times New Roman" w:hAnsi="Times New Roman"/>
          <w:b/>
          <w:sz w:val="20"/>
        </w:rPr>
        <w:t>10</w:t>
      </w:r>
      <w:r>
        <w:rPr>
          <w:rFonts w:ascii="Times New Roman" w:hAnsi="Times New Roman"/>
          <w:b/>
          <w:sz w:val="20"/>
        </w:rPr>
        <w:t>/202</w:t>
      </w:r>
      <w:r w:rsidR="004A3EC1">
        <w:rPr>
          <w:rFonts w:ascii="Times New Roman" w:hAnsi="Times New Roman"/>
          <w:b/>
          <w:sz w:val="20"/>
        </w:rPr>
        <w:t>5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77777777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ΠΙΝΑΚΟΘΗΚΗ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6309FD13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της υπ’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αριθμ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πρωτ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.: </w:t>
            </w:r>
            <w:r w:rsidR="00712D2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6531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 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 xml:space="preserve">– </w:t>
            </w:r>
            <w:r w:rsidR="00712D2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20</w:t>
            </w:r>
            <w:r w:rsidR="00504608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</w:t>
            </w:r>
            <w:r w:rsidR="00712D2A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10</w:t>
            </w:r>
            <w:r w:rsidRPr="006139E5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/202</w:t>
            </w:r>
            <w:r w:rsidR="004A3EC1">
              <w:rPr>
                <w:rFonts w:ascii="Times New Roman" w:hAnsi="Times New Roman"/>
                <w:b/>
                <w:kern w:val="2"/>
                <w:sz w:val="18"/>
                <w:szCs w:val="18"/>
                <w:u w:val="single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δωροδοκία, όπως αυτή ορίζεται αντίστοιχα στο άρθρο 3 της πράξη</w:t>
            </w:r>
            <w:bookmarkStart w:id="0" w:name="_GoBack"/>
            <w:bookmarkEnd w:id="0"/>
            <w:r>
              <w:rPr>
                <w:sz w:val="18"/>
                <w:szCs w:val="18"/>
              </w:rPr>
              <w:t xml:space="preserve">ς του Συμβουλίου της 26ης Μαΐου 1997 και στο άρθρο 2 παρ. 1 της απόφασης-πλαίσιο 2003/568/ΔΕΥ του Συμβουλίου. </w:t>
            </w:r>
          </w:p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283247"/>
    <w:rsid w:val="00421E44"/>
    <w:rsid w:val="004A3EC1"/>
    <w:rsid w:val="00504608"/>
    <w:rsid w:val="006139E5"/>
    <w:rsid w:val="00712D2A"/>
    <w:rsid w:val="008E752C"/>
    <w:rsid w:val="00B91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543</Words>
  <Characters>3423</Characters>
  <Application>Microsoft Office Word</Application>
  <DocSecurity>0</DocSecurity>
  <Lines>77</Lines>
  <Paragraphs>46</Paragraphs>
  <ScaleCrop>false</ScaleCrop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</cp:revision>
  <dcterms:created xsi:type="dcterms:W3CDTF">2024-10-07T07:00:00Z</dcterms:created>
  <dcterms:modified xsi:type="dcterms:W3CDTF">2025-10-20T11:58:00Z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